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2"/>
        </w:rPr>
        <w:t>Cuestionario de lote / Lot-Fragebogen (ES/DE)</w:t>
      </w:r>
    </w:p>
    <w:p>
      <w:r>
        <w:rPr>
          <w:color w:val="444444"/>
          <w:sz w:val="20"/>
        </w:rPr>
        <w:t>Por favor, complete este formulario para que podamos evaluar el lote con rapidez. / Bitte fülle dieses Formular aus, damit wir das Lot schnell prüfen können.</w:t>
      </w:r>
    </w:p>
    <w:p>
      <w:r>
        <w:t xml:space="preserve"> </w:t>
      </w:r>
    </w:p>
    <w:p>
      <w:r>
        <w:rPr>
          <w:b/>
          <w:sz w:val="24"/>
        </w:rPr>
        <w:t>A) Origen / Herkunft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Microregión, municipio, estado / Mikroregion, Gemeinde, Bundesstaat</w:t>
            </w:r>
          </w:p>
        </w:tc>
        <w:tc>
          <w:tcPr>
            <w:tcW w:type="dxa" w:w="6236"/>
            <w:vAlign w:val="top"/>
          </w:tcPr>
          <w:sdt>
            <w:sdtPr>
              <w:alias w:val="Origin microregion"/>
              <w:tag w:val="origin_microregion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Klick hier zum Ausfüllen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Altitud (msnm) / Höhenlage (m ü. M.)</w:t>
            </w:r>
          </w:p>
        </w:tc>
        <w:tc>
          <w:tcPr>
            <w:tcW w:type="dxa" w:w="6236"/>
            <w:vAlign w:val="top"/>
          </w:tcPr>
          <w:sdt>
            <w:sdtPr>
              <w:alias w:val="Altitude"/>
              <w:tag w:val="altitude_masl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1400–1750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Finca / Cooperativa + ID de lote / Farm/Kooperative + Lot-ID</w:t>
            </w:r>
          </w:p>
        </w:tc>
        <w:tc>
          <w:tcPr>
            <w:tcW w:type="dxa" w:w="6236"/>
            <w:vAlign w:val="top"/>
          </w:tcPr>
          <w:sdt>
            <w:sdtPr>
              <w:alias w:val="Lot ID"/>
              <w:tag w:val="trace_lot_id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Lot-ID / Referenz</w:t>
                </w:r>
              </w:p>
            </w:sdtContent>
          </w:sdt>
        </w:tc>
      </w:tr>
    </w:tbl>
    <w:p/>
    <w:p>
      <w:r>
        <w:rPr>
          <w:b/>
          <w:sz w:val="24"/>
        </w:rPr>
        <w:t>B) Variedad(es) / Varietät(en)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Variedad(es) / Varietät(en)</w:t>
            </w:r>
          </w:p>
        </w:tc>
        <w:tc>
          <w:tcPr>
            <w:tcW w:type="dxa" w:w="6236"/>
            <w:vAlign w:val="top"/>
          </w:tcPr>
          <w:sdt>
            <w:sdtPr>
              <w:alias w:val="Varieties"/>
              <w:tag w:val="varieties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Bourbon, Typica, Caturra</w:t>
                </w:r>
              </w:p>
            </w:sdtContent>
          </w:sdt>
        </w:tc>
      </w:tr>
    </w:tbl>
    <w:p/>
    <w:p>
      <w:r>
        <w:rPr>
          <w:b/>
          <w:sz w:val="24"/>
        </w:rPr>
        <w:t>C) Cosecha y crop year / Ernte &amp; Crop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Meses de cosecha / Erntemonate</w:t>
            </w:r>
          </w:p>
        </w:tc>
        <w:tc>
          <w:tcPr>
            <w:tcW w:type="dxa" w:w="6236"/>
            <w:vAlign w:val="top"/>
          </w:tcPr>
          <w:sdt>
            <w:sdtPr>
              <w:alias w:val="Harvest months"/>
              <w:tag w:val="harvest_months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Dic–Mar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Crop year</w:t>
            </w:r>
          </w:p>
        </w:tc>
        <w:tc>
          <w:tcPr>
            <w:tcW w:type="dxa" w:w="6236"/>
            <w:vAlign w:val="top"/>
          </w:tcPr>
          <w:sdt>
            <w:sdtPr>
              <w:alias w:val="Crop year"/>
              <w:tag w:val="crop_year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2025/26</w:t>
                </w:r>
              </w:p>
            </w:sdtContent>
          </w:sdt>
        </w:tc>
      </w:tr>
    </w:tbl>
    <w:p/>
    <w:p>
      <w:r>
        <w:rPr>
          <w:b/>
          <w:sz w:val="24"/>
        </w:rPr>
        <w:t>D) Proceso / Aufbereitung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Tipo / Art</w:t>
            </w:r>
          </w:p>
        </w:tc>
        <w:tc>
          <w:tcPr>
            <w:tcW w:type="dxa" w:w="6236"/>
            <w:vAlign w:val="top"/>
          </w:tcPr>
          <w:sdt>
            <w:sdtPr>
              <w:alias w:val="Process type"/>
              <w:tag w:val="process_type"/>
              <w:showingPlcHdr/>
              <w:dropDownList>
                <w:listItem w:displayText="Washed" w:value="Washed"/>
                <w:listItem w:displayText="Honey" w:value="Honey"/>
                <w:listItem w:displayText="Natural" w:value="Natural"/>
                <w:listItem w:displayText="Experimental" w:value="Experimental"/>
                <w:listItem w:displayText="Other" w:value="Other"/>
              </w:dropDownList>
            </w:sdtPr>
            <w:sdtContent>
              <w:p>
                <w:r/>
                <w:r>
                  <w:rPr>
                    <w:i/>
                    <w:color w:val="888888"/>
                  </w:rPr>
                  <w:t>Auswahl…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Detalles (fermentación, tiempos, agua, lavados) / Details (Fermentation, Zeiten, Wasser, Waschen)</w:t>
            </w:r>
          </w:p>
        </w:tc>
        <w:tc>
          <w:tcPr>
            <w:tcW w:type="dxa" w:w="6236"/>
            <w:vAlign w:val="top"/>
          </w:tcPr>
          <w:sdt>
            <w:sdtPr>
              <w:alias w:val="Process details"/>
              <w:tag w:val="process_details"/>
              <w:showingPlcHdr/>
              <w:richText/>
            </w:sdtPr>
            <w:sdtContent>
              <w:p>
                <w:r/>
                <w:r>
                  <w:rPr>
                    <w:i/>
                    <w:color w:val="888888"/>
                  </w:rPr>
                  <w:t>Klick hier und Details eintragen</w:t>
                </w:r>
              </w:p>
            </w:sdtContent>
          </w:sdt>
        </w:tc>
      </w:tr>
    </w:tbl>
    <w:p/>
    <w:p>
      <w:r>
        <w:rPr>
          <w:b/>
          <w:sz w:val="24"/>
        </w:rPr>
        <w:t>E) Secado / Trocknung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Método y duración / Methode &amp; Dauer</w:t>
            </w:r>
          </w:p>
        </w:tc>
        <w:tc>
          <w:tcPr>
            <w:tcW w:type="dxa" w:w="6236"/>
            <w:vAlign w:val="top"/>
          </w:tcPr>
          <w:sdt>
            <w:sdtPr>
              <w:alias w:val="Drying method"/>
              <w:tag w:val="drying_method_duration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Patio 12 días / Beds 18 días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Humedad final (%) / Moisture (%)</w:t>
            </w:r>
          </w:p>
        </w:tc>
        <w:tc>
          <w:tcPr>
            <w:tcW w:type="dxa" w:w="6236"/>
            <w:vAlign w:val="top"/>
          </w:tcPr>
          <w:sdt>
            <w:sdtPr>
              <w:alias w:val="Moisture"/>
              <w:tag w:val="moisture_pct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10.5–11.5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Actividad de agua (aw) / Water Activity (aw)</w:t>
            </w:r>
          </w:p>
        </w:tc>
        <w:tc>
          <w:tcPr>
            <w:tcW w:type="dxa" w:w="6236"/>
            <w:vAlign w:val="top"/>
          </w:tcPr>
          <w:sdt>
            <w:sdtPr>
              <w:alias w:val="Water activity"/>
              <w:tag w:val="water_activity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0.50–0.60</w:t>
                </w:r>
              </w:p>
            </w:sdtContent>
          </w:sdt>
        </w:tc>
      </w:tr>
    </w:tbl>
    <w:p/>
    <w:p>
      <w:r>
        <w:rPr>
          <w:b/>
          <w:sz w:val="24"/>
        </w:rPr>
        <w:t>F) Métricas de calidad / Qualitätsmetriken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Screen/Size (opcional) / Siebgröße (optional)</w:t>
            </w:r>
          </w:p>
        </w:tc>
        <w:tc>
          <w:tcPr>
            <w:tcW w:type="dxa" w:w="6236"/>
            <w:vAlign w:val="top"/>
          </w:tcPr>
          <w:sdt>
            <w:sdtPr>
              <w:alias w:val="Screen size"/>
              <w:tag w:val="screen_size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16/17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Defectos / clasificación / Defects / Sortierung</w:t>
            </w:r>
          </w:p>
        </w:tc>
        <w:tc>
          <w:tcPr>
            <w:tcW w:type="dxa" w:w="6236"/>
            <w:vAlign w:val="top"/>
          </w:tcPr>
          <w:sdt>
            <w:sdtPr>
              <w:alias w:val="Defects"/>
              <w:tag w:val="defects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EP / hand sorted / defect count</w:t>
                </w:r>
              </w:p>
            </w:sdtContent>
          </w:sdt>
        </w:tc>
      </w:tr>
    </w:tbl>
    <w:p/>
    <w:p>
      <w:r>
        <w:br w:type="page"/>
      </w:r>
    </w:p>
    <w:p>
      <w:r>
        <w:rPr>
          <w:b/>
          <w:sz w:val="24"/>
        </w:rPr>
        <w:t>G) Perfil de taza / Cupping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Notas + protocolo (SCA u otro) / Notes + Protokoll (SCA o. a.)</w:t>
            </w:r>
          </w:p>
        </w:tc>
        <w:tc>
          <w:tcPr>
            <w:tcW w:type="dxa" w:w="6236"/>
            <w:vAlign w:val="top"/>
          </w:tcPr>
          <w:sdt>
            <w:sdtPr>
              <w:alias w:val="Cupping notes"/>
              <w:tag w:val="cupping_notes_protocol"/>
              <w:showingPlcHdr/>
              <w:richText/>
            </w:sdtPr>
            <w:sdtContent>
              <w:p>
                <w:r/>
                <w:r>
                  <w:rPr>
                    <w:i/>
                    <w:color w:val="888888"/>
                  </w:rPr>
                  <w:t>Aromen, Säure, Süße, Körper, Nachgeschmack …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¿Quién cató? ¿Consistencia? / Wer hat gecuppt? Konsistenz?</w:t>
            </w:r>
          </w:p>
        </w:tc>
        <w:tc>
          <w:tcPr>
            <w:tcW w:type="dxa" w:w="6236"/>
            <w:vAlign w:val="top"/>
          </w:tcPr>
          <w:sdt>
            <w:sdtPr>
              <w:alias w:val="Cupping who"/>
              <w:tag w:val="cupping_who_consistency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Exporter/Q-Grader/Röster + wie viele Cups</w:t>
                </w:r>
              </w:p>
            </w:sdtContent>
          </w:sdt>
        </w:tc>
      </w:tr>
    </w:tbl>
    <w:p/>
    <w:p>
      <w:r>
        <w:rPr>
          <w:b/>
          <w:sz w:val="24"/>
        </w:rPr>
        <w:t>H) Trazabilidad / Rückverfolgbarkeit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Tipo de lote (microlote/mezcla) / Lot-Typ (Microlot/Blend)</w:t>
            </w:r>
          </w:p>
        </w:tc>
        <w:tc>
          <w:tcPr>
            <w:tcW w:type="dxa" w:w="6236"/>
            <w:vAlign w:val="top"/>
          </w:tcPr>
          <w:sdt>
            <w:sdtPr>
              <w:alias w:val="Lot type"/>
              <w:tag w:val="lot_type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Microlot / Community lot / Blend …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Certificaciones (si aplica) / Zertifizierungen (falls vorhanden)</w:t>
            </w:r>
          </w:p>
        </w:tc>
        <w:tc>
          <w:tcPr>
            <w:tcW w:type="dxa" w:w="6236"/>
            <w:vAlign w:val="top"/>
          </w:tcPr>
          <w:sdt>
            <w:sdtPr>
              <w:alias w:val="Certifications"/>
              <w:tag w:val="certifications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Organic / Rainforest / etc.</w:t>
                </w:r>
              </w:p>
            </w:sdtContent>
          </w:sdt>
        </w:tc>
      </w:tr>
    </w:tbl>
    <w:p/>
    <w:p>
      <w:r>
        <w:rPr>
          <w:b/>
          <w:sz w:val="24"/>
        </w:rPr>
        <w:t>I) Roya y clima / Roya &amp; Klima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Pérdidas, medidas, impacto / Ausfälle, Maßnahmen, Einfluss</w:t>
            </w:r>
          </w:p>
        </w:tc>
        <w:tc>
          <w:tcPr>
            <w:tcW w:type="dxa" w:w="6236"/>
            <w:vAlign w:val="top"/>
          </w:tcPr>
          <w:sdt>
            <w:sdtPr>
              <w:alias w:val="Roya &amp; climate"/>
              <w:tag w:val="roya_climate"/>
              <w:showingPlcHdr/>
              <w:richText/>
            </w:sdtPr>
            <w:sdtContent>
              <w:p>
                <w:r/>
                <w:r>
                  <w:rPr>
                    <w:i/>
                    <w:color w:val="888888"/>
                  </w:rPr>
                  <w:t>Kurz beschreiben …</w:t>
                </w:r>
              </w:p>
            </w:sdtContent>
          </w:sdt>
        </w:tc>
      </w:tr>
    </w:tbl>
    <w:p/>
    <w:p>
      <w:r>
        <w:rPr>
          <w:b/>
          <w:sz w:val="24"/>
        </w:rPr>
        <w:t>J) Precio / Preis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Base (FOB/EXW/otro) / Basis (FOB/EXW/andere)</w:t>
            </w:r>
          </w:p>
        </w:tc>
        <w:tc>
          <w:tcPr>
            <w:tcW w:type="dxa" w:w="6236"/>
            <w:vAlign w:val="top"/>
          </w:tcPr>
          <w:sdt>
            <w:sdtPr>
              <w:alias w:val="Incoterm"/>
              <w:tag w:val="incoterm_base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FOB Veracruz / EXW …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¿Qué incluye? / Was ist inklusive?</w:t>
            </w:r>
          </w:p>
        </w:tc>
        <w:tc>
          <w:tcPr>
            <w:tcW w:type="dxa" w:w="6236"/>
            <w:vAlign w:val="top"/>
          </w:tcPr>
          <w:sdt>
            <w:sdtPr>
              <w:alias w:val="Price includes"/>
              <w:tag w:val="price_includes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milling, bags, inland transport …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Condiciones de pago / Zahlungsbedingungen</w:t>
            </w:r>
          </w:p>
        </w:tc>
        <w:tc>
          <w:tcPr>
            <w:tcW w:type="dxa" w:w="6236"/>
            <w:vAlign w:val="top"/>
          </w:tcPr>
          <w:sdt>
            <w:sdtPr>
              <w:alias w:val="Payment terms"/>
              <w:tag w:val="payment_terms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30% deposit, balance …</w:t>
                </w:r>
              </w:p>
            </w:sdtContent>
          </w:sdt>
        </w:tc>
      </w:tr>
    </w:tbl>
    <w:p/>
    <w:p>
      <w:r>
        <w:rPr>
          <w:b/>
          <w:sz w:val="24"/>
        </w:rPr>
        <w:t>K) Muestras / Samples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Tamaño y costo / Größe &amp; Kosten</w:t>
            </w:r>
          </w:p>
        </w:tc>
        <w:tc>
          <w:tcPr>
            <w:tcW w:type="dxa" w:w="6236"/>
            <w:vAlign w:val="top"/>
          </w:tcPr>
          <w:sdt>
            <w:sdtPr>
              <w:alias w:val="Sample size &amp; cost"/>
              <w:tag w:val="sample_size_cost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500 g / 1 kg, gratis/paid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Tiempo de envío / Versandzeit</w:t>
            </w:r>
          </w:p>
        </w:tc>
        <w:tc>
          <w:tcPr>
            <w:tcW w:type="dxa" w:w="6236"/>
            <w:vAlign w:val="top"/>
          </w:tcPr>
          <w:sdt>
            <w:sdtPr>
              <w:alias w:val="Sample lead time"/>
              <w:tag w:val="sample_lead_time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3–7 días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¿Misma ID de lote? / Same lot ID?</w:t>
            </w:r>
          </w:p>
        </w:tc>
        <w:tc>
          <w:tcPr>
            <w:tcW w:type="dxa" w:w="6236"/>
            <w:vAlign w:val="top"/>
          </w:tcPr>
          <w:sdt>
            <w:sdtPr>
              <w:alias w:val="Sample same lot id"/>
              <w:tag w:val="sample_same_lot_id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sí/no + ID</w:t>
                </w:r>
              </w:p>
            </w:sdtContent>
          </w:sdt>
        </w:tc>
      </w:tr>
    </w:tbl>
    <w:p/>
    <w:p>
      <w:r>
        <w:rPr>
          <w:b/>
          <w:sz w:val="24"/>
        </w:rPr>
        <w:t>L) MOQ + disponibilidad + timing / MOQ + Verfügbarkeit + Timing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MOQ (kg/sacos) / Mindestmenge (kg/Bags)</w:t>
            </w:r>
          </w:p>
        </w:tc>
        <w:tc>
          <w:tcPr>
            <w:tcW w:type="dxa" w:w="6236"/>
            <w:vAlign w:val="top"/>
          </w:tcPr>
          <w:sdt>
            <w:sdtPr>
              <w:alias w:val="MOQ"/>
              <w:tag w:val="moq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10 bags / 600 kg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Sacos disponibles / Verfügbare Bags</w:t>
            </w:r>
          </w:p>
        </w:tc>
        <w:tc>
          <w:tcPr>
            <w:tcW w:type="dxa" w:w="6236"/>
            <w:vAlign w:val="top"/>
          </w:tcPr>
          <w:sdt>
            <w:sdtPr>
              <w:alias w:val="Available bags"/>
              <w:tag w:val="available_bags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18 bags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Hold + ventana de embarque / on hold + Verschiffungsfenster</w:t>
            </w:r>
          </w:p>
        </w:tc>
        <w:tc>
          <w:tcPr>
            <w:tcW w:type="dxa" w:w="6236"/>
            <w:vAlign w:val="top"/>
          </w:tcPr>
          <w:sdt>
            <w:sdtPr>
              <w:alias w:val="Shipping window"/>
              <w:tag w:val="shipping_window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z. B. abril–mayo, lead time …</w:t>
                </w:r>
              </w:p>
            </w:sdtContent>
          </w:sdt>
        </w:tc>
      </w:tr>
    </w:tbl>
    <w:p/>
    <w:p>
      <w:r>
        <w:rPr>
          <w:b/>
          <w:sz w:val="24"/>
        </w:rPr>
        <w:t>Contacto / Kontakt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Nombre / Empresa / Name / Firma</w:t>
            </w:r>
          </w:p>
        </w:tc>
        <w:tc>
          <w:tcPr>
            <w:tcW w:type="dxa" w:w="6236"/>
            <w:vAlign w:val="top"/>
          </w:tcPr>
          <w:sdt>
            <w:sdtPr>
              <w:alias w:val="Contact name"/>
              <w:tag w:val="contact_name_company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Name / Company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Email</w:t>
            </w:r>
          </w:p>
        </w:tc>
        <w:tc>
          <w:tcPr>
            <w:tcW w:type="dxa" w:w="6236"/>
            <w:vAlign w:val="top"/>
          </w:tcPr>
          <w:sdt>
            <w:sdtPr>
              <w:alias w:val="Email"/>
              <w:tag w:val="contact_email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name@company.com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Teléfono / WhatsApp</w:t>
            </w:r>
          </w:p>
        </w:tc>
        <w:tc>
          <w:tcPr>
            <w:tcW w:type="dxa" w:w="6236"/>
            <w:vAlign w:val="top"/>
          </w:tcPr>
          <w:sdt>
            <w:sdtPr>
              <w:alias w:val="Phone"/>
              <w:tag w:val="contact_phone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+52 … / +49 …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Fecha / Datum</w:t>
            </w:r>
          </w:p>
        </w:tc>
        <w:tc>
          <w:tcPr>
            <w:tcW w:type="dxa" w:w="6236"/>
            <w:vAlign w:val="top"/>
          </w:tcPr>
          <w:sdt>
            <w:sdtPr>
              <w:alias w:val="Date"/>
              <w:tag w:val="contact_date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TT.MM.JJJJ</w:t>
                </w:r>
              </w:p>
            </w:sdtContent>
          </w:sdt>
        </w:tc>
      </w:tr>
      <w:tr>
        <w:tc>
          <w:tcPr>
            <w:tcW w:type="dxa" w:w="3402"/>
            <w:vAlign w:val="top"/>
          </w:tcPr>
          <w:p>
            <w:r/>
            <w:r>
              <w:rPr>
                <w:b w:val="0"/>
                <w:sz w:val="18"/>
              </w:rPr>
              <w:t>Firma / Unterschrift</w:t>
            </w:r>
          </w:p>
        </w:tc>
        <w:tc>
          <w:tcPr>
            <w:tcW w:type="dxa" w:w="6236"/>
            <w:vAlign w:val="top"/>
          </w:tcPr>
          <w:sdt>
            <w:sdtPr>
              <w:alias w:val="Signature"/>
              <w:tag w:val="signature"/>
              <w:showingPlcHdr/>
              <w:text/>
            </w:sdtPr>
            <w:sdtContent>
              <w:p>
                <w:r/>
                <w:r>
                  <w:rPr>
                    <w:i/>
                    <w:color w:val="888888"/>
                  </w:rPr>
                  <w:t>(Unterschrift)</w:t>
                </w:r>
              </w:p>
            </w:sdtContent>
          </w:sdt>
        </w:tc>
      </w:tr>
    </w:tbl>
    <w:p/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color w:val="888888"/>
        <w:sz w:val="16"/>
      </w:rPr>
      <w:t>meximex.de  ·  meximex manjares  ·  B2B Coffee Sourcing Mexico–Germany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left"/>
      <w:tblLayout w:type="fixed"/>
      <w:tblLook w:firstColumn="1" w:firstRow="1" w:lastColumn="0" w:lastRow="0" w:noHBand="0" w:noVBand="1" w:val="04A0"/>
    </w:tblPr>
    <w:tblGrid>
      <w:gridCol w:w="5386"/>
      <w:gridCol w:w="4252"/>
    </w:tblGrid>
    <w:tr>
      <w:tc>
        <w:tcPr>
          <w:tcW w:type="dxa" w:w="4819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3060000" cy="116069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meximex-manjare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116069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19"/>
        </w:tcPr>
        <w:p>
          <w:pPr>
            <w:jc w:val="right"/>
          </w:pPr>
          <w:r>
            <w:rPr>
              <w:b/>
              <w:color w:val="666666"/>
              <w:sz w:val="18"/>
            </w:rPr>
            <w:t>meximex.de</w:t>
          </w:r>
        </w:p>
        <w:p>
          <w:pPr>
            <w:jc w:val="right"/>
          </w:pPr>
          <w:r>
            <w:rPr>
              <w:color w:val="888888"/>
              <w:sz w:val="16"/>
            </w:rPr>
            <w:t>Coffee sourcing Mexico–Germany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